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Tillgänglighetsminneslista för konstfinansiärer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Förhandsplanering, personal och referentgranskning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Om din organisation har en strategi, verksamhetsplan eller likabehandlingsplan, anteckna i den värderingarna gällande mångfalden och tillgängligheten samt målsättningarna för utvecklingen. Spjälk upp målsättningarna i åtgärder, rikta vid behov resurser till dem och ställ upp en tidtabell för arbetets framskridande. </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Målsättningarna kan vara kopplade till utvecklingen av mångfalden och tillgängligheten ur personalsynvinkel. Vinnlägg dig om att uppmärksamma mångfalden i rekryteringssituationerna. Utarbeta en tydlig plan för hur din stiftelse/fond kan vara mer tillgänglig som arbetsplats. Det är viktigt att regelbundet ge personalen fortbildning i jämlikhet, mångfald och tillgänglighet.</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Målsättningarna kan vara kopplade till utvecklingen av mångfalden och tillgängligheten ur finansieringsverksamhetens synvinkel. Fäst vikt vid referentgranskarnas mångfald och kunnande. Granskarna borde ha kännedom om olika minoritetskulturer, och kompetens i att identifiera de sökandes mångfaldiga utgångspunkter och att tänka på konstens kvalitet och konstnärens skicklighet ur olika synvinklar. Minoriteters egen roll, till exempel det att de funktionsvarierade själva styr en verksamhet, kan vara ett kriterium för kvaliteten i den verksamhet som ska finansieras. Berätta för referentgranskarna konkret om vilka slags målsättningar din stiftelse/fond har i finansieringsbesluten i fråga om jämlikhet och mångfald. Erbjud granskarna stöd och vid behov utbildning.</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Mångfalden i de finansierade innehållen kan också stärkas genom att man riktar utlysningarna till sökande som hör till underrepresenterade grupper. I temautlysningarna kan minoritetskulturers, till exempel funktionsvariations- och teckenspråkskulturens, perspektiv lyftas fram.</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Information, material och utbildning som stöd för jämlikhetsplaneringen finns tillgängliga till exempel i Servicen Kultur för alla och på Diskrimineringsombudsmannens nätsidor. Du kan bekanta dig med internationella exempel på goda praxisar för finansiärer i artikeln </w:t>
      </w:r>
      <w:hyperlink r:id="rId7">
        <w:r w:rsidDel="00000000" w:rsidR="00000000" w:rsidRPr="00000000">
          <w:rPr>
            <w:color w:val="1155cc"/>
            <w:u w:val="single"/>
            <w:rtl w:val="0"/>
          </w:rPr>
          <w:t xml:space="preserve">Hur finansiärer kan ta funktionsvarierade konstnärer i beaktande på Stiftelser och fonder rf:s nätsidor (på finska)</w:t>
        </w:r>
      </w:hyperlink>
      <w:r w:rsidDel="00000000" w:rsidR="00000000" w:rsidRPr="00000000">
        <w:rPr>
          <w:rtl w:val="0"/>
        </w:rPr>
        <w:t xml:space="preserve">.</w:t>
      </w:r>
    </w:p>
    <w:p w:rsidR="00000000" w:rsidDel="00000000" w:rsidP="00000000" w:rsidRDefault="00000000" w:rsidRPr="00000000" w14:paraId="0000000A">
      <w:pPr>
        <w:spacing w:line="276" w:lineRule="auto"/>
        <w:rPr>
          <w:color w:val="0070c0"/>
        </w:rPr>
      </w:pPr>
      <w:r w:rsidDel="00000000" w:rsidR="00000000" w:rsidRPr="00000000">
        <w:rPr>
          <w:rtl w:val="0"/>
        </w:rPr>
      </w:r>
    </w:p>
    <w:p w:rsidR="00000000" w:rsidDel="00000000" w:rsidP="00000000" w:rsidRDefault="00000000" w:rsidRPr="00000000" w14:paraId="0000000B">
      <w:pPr>
        <w:spacing w:line="276" w:lineRule="auto"/>
        <w:rPr>
          <w:sz w:val="28"/>
          <w:szCs w:val="28"/>
        </w:rPr>
      </w:pPr>
      <w:r w:rsidDel="00000000" w:rsidR="00000000" w:rsidRPr="00000000">
        <w:rPr>
          <w:sz w:val="28"/>
          <w:szCs w:val="28"/>
          <w:rtl w:val="0"/>
        </w:rPr>
        <w:t xml:space="preserve">Kommunikation och webbtjänster</w:t>
      </w:r>
    </w:p>
    <w:p w:rsidR="00000000" w:rsidDel="00000000" w:rsidP="00000000" w:rsidRDefault="00000000" w:rsidRPr="00000000" w14:paraId="0000000C">
      <w:pPr>
        <w:spacing w:line="276" w:lineRule="auto"/>
        <w:rPr>
          <w:color w:val="0070c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Vinnlägg dig om ett lättfattligt språk i ansökningsanvisningarna, på ansökningsblanketterna och i din övriga kommunikation. Du kan bekanta dig till exempel med </w:t>
      </w:r>
      <w:hyperlink r:id="rId8">
        <w:r w:rsidDel="00000000" w:rsidR="00000000" w:rsidRPr="00000000">
          <w:rPr>
            <w:color w:val="1155cc"/>
            <w:u w:val="single"/>
            <w:rtl w:val="0"/>
          </w:rPr>
          <w:t xml:space="preserve">LL-Centers Riktlinjer för lättläst</w:t>
        </w:r>
      </w:hyperlink>
      <w:r w:rsidDel="00000000" w:rsidR="00000000" w:rsidRPr="00000000">
        <w:rPr>
          <w:rtl w:val="0"/>
        </w:rPr>
        <w:t xml:space="preserve">.</w:t>
      </w:r>
    </w:p>
    <w:p w:rsidR="00000000" w:rsidDel="00000000" w:rsidP="00000000" w:rsidRDefault="00000000" w:rsidRPr="00000000" w14:paraId="0000000E">
      <w:pPr>
        <w:numPr>
          <w:ilvl w:val="0"/>
          <w:numId w:val="1"/>
        </w:numPr>
        <w:spacing w:line="276" w:lineRule="auto"/>
        <w:ind w:left="720" w:hanging="360"/>
        <w:rPr/>
      </w:pPr>
      <w:r w:rsidDel="00000000" w:rsidR="00000000" w:rsidRPr="00000000">
        <w:rPr>
          <w:rtl w:val="0"/>
        </w:rPr>
        <w:t xml:space="preserve">Kommunicera på olika språk. Publicera utlysningen och ansökningsanvisningarna på finska, lätt finska, svenska, lätt svenska, engelska, finskt teckenspråk och/eller finlandssvenskt teckenspråk.</w:t>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Se till att den yttre formen till nätsidorna och kommunikationsmaterialet är möjligast tillgänglig. Se till exempel </w:t>
      </w:r>
      <w:hyperlink r:id="rId9">
        <w:r w:rsidDel="00000000" w:rsidR="00000000" w:rsidRPr="00000000">
          <w:rPr>
            <w:color w:val="1155cc"/>
            <w:u w:val="single"/>
            <w:rtl w:val="0"/>
          </w:rPr>
          <w:t xml:space="preserve">De synskadades förbunds Anvisningar för planeringen av en tydlig publikation (på finska)</w:t>
        </w:r>
      </w:hyperlink>
      <w:r w:rsidDel="00000000" w:rsidR="00000000" w:rsidRPr="00000000">
        <w:rPr>
          <w:rtl w:val="0"/>
        </w:rPr>
        <w:t xml:space="preserve">.</w:t>
      </w:r>
    </w:p>
    <w:p w:rsidR="00000000" w:rsidDel="00000000" w:rsidP="00000000" w:rsidRDefault="00000000" w:rsidRPr="00000000" w14:paraId="00000010">
      <w:pPr>
        <w:numPr>
          <w:ilvl w:val="0"/>
          <w:numId w:val="1"/>
        </w:numPr>
        <w:spacing w:line="276" w:lineRule="auto"/>
        <w:ind w:left="720" w:hanging="360"/>
        <w:rPr/>
      </w:pPr>
      <w:r w:rsidDel="00000000" w:rsidR="00000000" w:rsidRPr="00000000">
        <w:rPr>
          <w:rtl w:val="0"/>
        </w:rPr>
        <w:t xml:space="preserve">Samarbeta med olika organisationer, så att din utlysning når också funktionsvarierade och teckenspråkiga konstnärer. Använd dig mångsidigt av olika kommunikationskanaler. I utlysningen kan du direkt uppmuntra konstnärer med mångfaldig bakgrund att söka stipendium.</w:t>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rtl w:val="0"/>
        </w:rPr>
        <w:t xml:space="preserve">Förvissa dig om att dina nättjänster är tillgängliga. Det bästa sättet att vara säker på saken är att beställa en expertutvärdering av tillgängligheten för nätsidorna och stipendieblanketten / ansökningsplattformen / rapporteringsplattformen. Också ur referentgranskarnas synvinkel är nätplattformens tillgänglighet väsentlig.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sz w:val="28"/>
          <w:szCs w:val="28"/>
        </w:rPr>
      </w:pPr>
      <w:r w:rsidDel="00000000" w:rsidR="00000000" w:rsidRPr="00000000">
        <w:rPr>
          <w:sz w:val="28"/>
          <w:szCs w:val="28"/>
          <w:rtl w:val="0"/>
        </w:rPr>
        <w:t xml:space="preserve">Att söka stipendium</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Om du ordnar en informationstillställning gällande stipendieansökan, förvissa dig om att den är tillgänglig. Berätta öppet om hur tillgängligheten har förverkligats (och också om det som inte kan ordnas eller som inte fungerar). Du kan som hjälp använda till exempel den här granskningslistan för ett tillgängligt evenemang </w:t>
      </w:r>
      <w:hyperlink r:id="rId10">
        <w:r w:rsidDel="00000000" w:rsidR="00000000" w:rsidRPr="00000000">
          <w:rPr>
            <w:color w:val="1155cc"/>
            <w:u w:val="single"/>
            <w:rtl w:val="0"/>
          </w:rPr>
          <w:t xml:space="preserve">Granskningslista för ett tillgängligt evenemang (på finska)</w:t>
        </w:r>
      </w:hyperlink>
      <w:r w:rsidDel="00000000" w:rsidR="00000000" w:rsidRPr="00000000">
        <w:rPr>
          <w:rtl w:val="0"/>
        </w:rPr>
        <w:t xml:space="preserve">. Vid de informationstillställningar som hänger ihop med utlysningarna är det viktigt att behandla ansökan även ur tillgänglighetssynvinkel.</w:t>
      </w:r>
    </w:p>
    <w:p w:rsidR="00000000" w:rsidDel="00000000" w:rsidP="00000000" w:rsidRDefault="00000000" w:rsidRPr="00000000" w14:paraId="00000015">
      <w:pPr>
        <w:numPr>
          <w:ilvl w:val="0"/>
          <w:numId w:val="1"/>
        </w:numPr>
        <w:spacing w:line="276" w:lineRule="auto"/>
        <w:ind w:left="720" w:hanging="360"/>
        <w:rPr/>
      </w:pPr>
      <w:r w:rsidDel="00000000" w:rsidR="00000000" w:rsidRPr="00000000">
        <w:rPr>
          <w:rtl w:val="0"/>
        </w:rPr>
        <w:t xml:space="preserve">Fundera på om ansökningstiden kan vara flera gånger i året. På det sättet är ansökan mer tillgänglig för dem vars funktionsförmåga varierar.</w:t>
      </w:r>
    </w:p>
    <w:p w:rsidR="00000000" w:rsidDel="00000000" w:rsidP="00000000" w:rsidRDefault="00000000" w:rsidRPr="00000000" w14:paraId="00000016">
      <w:pPr>
        <w:numPr>
          <w:ilvl w:val="0"/>
          <w:numId w:val="1"/>
        </w:numPr>
        <w:spacing w:line="276" w:lineRule="auto"/>
        <w:ind w:left="720" w:hanging="360"/>
        <w:rPr/>
      </w:pPr>
      <w:r w:rsidDel="00000000" w:rsidR="00000000" w:rsidRPr="00000000">
        <w:rPr>
          <w:rtl w:val="0"/>
        </w:rPr>
        <w:t xml:space="preserve">Fundera på om man kan reservera arbetstid för personalen för att stöda sökande för vilka ansökan inte är tillgänglig. Stödet kan till exempel handla om att ansökan ska gå att förstå, om sammanställningen av de olika delar som behövs för ansökan eller om teknisk hjälp. I en del länder har finansiärer prövat på användning av ansökningsassistenter. I den modellen betalar finansiären ett arvode till assistenten som hjälper sökanden att göra ansökan. Stödes kan riktas till endast en begränsad målgrupp.</w:t>
      </w:r>
    </w:p>
    <w:p w:rsidR="00000000" w:rsidDel="00000000" w:rsidP="00000000" w:rsidRDefault="00000000" w:rsidRPr="00000000" w14:paraId="00000017">
      <w:pPr>
        <w:numPr>
          <w:ilvl w:val="0"/>
          <w:numId w:val="1"/>
        </w:numPr>
        <w:spacing w:line="276" w:lineRule="auto"/>
        <w:ind w:left="720" w:hanging="360"/>
        <w:rPr/>
      </w:pPr>
      <w:r w:rsidDel="00000000" w:rsidR="00000000" w:rsidRPr="00000000">
        <w:rPr>
          <w:rtl w:val="0"/>
        </w:rPr>
        <w:t xml:space="preserve">Tänk på i vilka alla former ansökan kan göras helt eller delvis. Till exempel användning av en video, en ljudfil, foton eller till exempel en intervju utökar möjligheterna för olika sökande.</w:t>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rtl w:val="0"/>
        </w:rPr>
        <w:t xml:space="preserve">Kom ihåg att berätta öppet om dessa möjligheter i ansökningsanvisningarna.</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sz w:val="28"/>
          <w:szCs w:val="28"/>
        </w:rPr>
      </w:pPr>
      <w:r w:rsidDel="00000000" w:rsidR="00000000" w:rsidRPr="00000000">
        <w:rPr>
          <w:sz w:val="28"/>
          <w:szCs w:val="28"/>
          <w:rtl w:val="0"/>
        </w:rPr>
        <w:t xml:space="preserve">Finansiering av kostnader relaterade till funktionsvariation</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Bevilja stöd för kostnader relaterade till funktionsvariation. Dessa kan vara:</w:t>
      </w:r>
    </w:p>
    <w:p w:rsidR="00000000" w:rsidDel="00000000" w:rsidP="00000000" w:rsidRDefault="00000000" w:rsidRPr="00000000" w14:paraId="0000001D">
      <w:pPr>
        <w:numPr>
          <w:ilvl w:val="0"/>
          <w:numId w:val="1"/>
        </w:numPr>
        <w:spacing w:line="276" w:lineRule="auto"/>
        <w:ind w:left="720" w:hanging="360"/>
        <w:rPr/>
      </w:pPr>
      <w:r w:rsidDel="00000000" w:rsidR="00000000" w:rsidRPr="00000000">
        <w:rPr>
          <w:rtl w:val="0"/>
        </w:rPr>
        <w:t xml:space="preserve">Lönekostnader för en assistent eller tolk när assistentens eller tolkens arbete anknyter till ett konstnärligt innehåll.</w:t>
      </w:r>
    </w:p>
    <w:p w:rsidR="00000000" w:rsidDel="00000000" w:rsidP="00000000" w:rsidRDefault="00000000" w:rsidRPr="00000000" w14:paraId="0000001E">
      <w:pPr>
        <w:numPr>
          <w:ilvl w:val="0"/>
          <w:numId w:val="1"/>
        </w:numPr>
        <w:spacing w:line="276" w:lineRule="auto"/>
        <w:ind w:left="720" w:hanging="360"/>
        <w:rPr/>
      </w:pPr>
      <w:r w:rsidDel="00000000" w:rsidR="00000000" w:rsidRPr="00000000">
        <w:rPr>
          <w:rtl w:val="0"/>
        </w:rPr>
        <w:t xml:space="preserve">Resekostnader för en assistent eller tolk.</w:t>
      </w:r>
    </w:p>
    <w:p w:rsidR="00000000" w:rsidDel="00000000" w:rsidP="00000000" w:rsidRDefault="00000000" w:rsidRPr="00000000" w14:paraId="0000001F">
      <w:pPr>
        <w:numPr>
          <w:ilvl w:val="0"/>
          <w:numId w:val="1"/>
        </w:numPr>
        <w:spacing w:line="276" w:lineRule="auto"/>
        <w:ind w:left="720" w:hanging="360"/>
        <w:rPr/>
      </w:pPr>
      <w:r w:rsidDel="00000000" w:rsidR="00000000" w:rsidRPr="00000000">
        <w:rPr>
          <w:rtl w:val="0"/>
        </w:rPr>
        <w:t xml:space="preserve">Kostnader för assistent- eller ledarhund, till exempel för att det vid resor utomlands för hunden kan fordras vaccineringar. </w:t>
      </w:r>
    </w:p>
    <w:p w:rsidR="00000000" w:rsidDel="00000000" w:rsidP="00000000" w:rsidRDefault="00000000" w:rsidRPr="00000000" w14:paraId="00000020">
      <w:pPr>
        <w:numPr>
          <w:ilvl w:val="0"/>
          <w:numId w:val="1"/>
        </w:numPr>
        <w:spacing w:line="276" w:lineRule="auto"/>
        <w:ind w:left="720" w:hanging="360"/>
        <w:rPr/>
      </w:pPr>
      <w:r w:rsidDel="00000000" w:rsidR="00000000" w:rsidRPr="00000000">
        <w:rPr>
          <w:rtl w:val="0"/>
        </w:rPr>
        <w:t xml:space="preserve">Dyrare resekostnader. Den offentliga trafiken är inte alltid tillgänglig och det kan vara befogat för stipendiaten att använda sig av till exempel taxi eller flyg.</w:t>
      </w:r>
    </w:p>
    <w:p w:rsidR="00000000" w:rsidDel="00000000" w:rsidP="00000000" w:rsidRDefault="00000000" w:rsidRPr="00000000" w14:paraId="00000021">
      <w:pPr>
        <w:numPr>
          <w:ilvl w:val="0"/>
          <w:numId w:val="1"/>
        </w:numPr>
        <w:spacing w:line="276" w:lineRule="auto"/>
        <w:ind w:left="720" w:hanging="360"/>
        <w:rPr/>
      </w:pPr>
      <w:r w:rsidDel="00000000" w:rsidR="00000000" w:rsidRPr="00000000">
        <w:rPr>
          <w:rtl w:val="0"/>
        </w:rPr>
        <w:t xml:space="preserve">Hjälpmedel eller -program som behövs i arbetet.</w:t>
      </w:r>
    </w:p>
    <w:p w:rsidR="00000000" w:rsidDel="00000000" w:rsidP="00000000" w:rsidRDefault="00000000" w:rsidRPr="00000000" w14:paraId="00000022">
      <w:pPr>
        <w:numPr>
          <w:ilvl w:val="0"/>
          <w:numId w:val="1"/>
        </w:numPr>
        <w:spacing w:line="276" w:lineRule="auto"/>
        <w:ind w:left="720" w:hanging="360"/>
        <w:rPr/>
      </w:pPr>
      <w:r w:rsidDel="00000000" w:rsidR="00000000" w:rsidRPr="00000000">
        <w:rPr>
          <w:rtl w:val="0"/>
        </w:rPr>
        <w:t xml:space="preserve">Kom ihåg att i ansökningsanvisningarna öppet berätta om finansieringen av kostnader som sammanhänger med funktionsvariation, så att den sökande kan inkludera också dessa kostnader i budgeten för sin ansökan.</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sz w:val="28"/>
          <w:szCs w:val="28"/>
        </w:rPr>
      </w:pPr>
      <w:r w:rsidDel="00000000" w:rsidR="00000000" w:rsidRPr="00000000">
        <w:rPr>
          <w:sz w:val="28"/>
          <w:szCs w:val="28"/>
          <w:rtl w:val="0"/>
        </w:rPr>
        <w:t xml:space="preserve">Datainsamling</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Det finns exempel på aktörer inom konstbranschen, bland annat finansiärer, som i samband med en utlysning har erbjudit sökande en möjlighet att berätta om konstnärens eller arbetsgruppens medlemmars sätt att identifiera sig med någon minoritet (självidentifikation). Informationen kan samlas in anonymt och på en blankett som är separat från ansökan. Till exempel WSOYs litteraturstiftelse frågar om den sökandes kön och Titanik-galleriet frågar utförligt den sökande om hens identifikation med olika minoriteter. Centret för konstfrämjande samlar information om den sökandes kön och modersmål direkt ur befolkningsdatasystemet. Informationen man får är värdefull, för den kan användas i utvärderingen av hur jämlikheten förverkligas. Också i själva ansökningarna kan finnas information framförd av de sökande om deras egen minoritetsbakgrund, vilket för sin del berättar om hur man når sökande som är i minoritetsställning.</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Det är viktigt att finansiären ber om respons beträffande hur ansökan kunde göras lättare och mer tillgänglig. Man kan be om respons i samband med ansökan men också utanför ansökningstiden.</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t xml:space="preserve">Utgivare: projektet Rum för skapande arbete - jämlikhet för funktionsvarierade och teckenspråkiga konstnärer / Servicen Kultur för alla 2023.</w:t>
      </w: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semiHidden w:val="1"/>
    <w:unhideWhenUsed w:val="1"/>
    <w:qFormat w:val="1"/>
    <w:pPr>
      <w:keepNext w:val="1"/>
      <w:keepLines w:val="1"/>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sz w:val="22"/>
      <w:szCs w:val="22"/>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character" w:styleId="Hyperlinkki">
    <w:name w:val="Hyperlink"/>
    <w:basedOn w:val="Kappaleenoletusfontti"/>
    <w:uiPriority w:val="99"/>
    <w:unhideWhenUsed w:val="1"/>
    <w:rsid w:val="00930EF5"/>
    <w:rPr>
      <w:color w:val="0563c1" w:themeColor="hyperlink"/>
      <w:u w:val="single"/>
    </w:rPr>
  </w:style>
  <w:style w:type="character" w:styleId="Ratkaisematonmaininta">
    <w:name w:val="Unresolved Mention"/>
    <w:basedOn w:val="Kappaleenoletusfontti"/>
    <w:uiPriority w:val="99"/>
    <w:semiHidden w:val="1"/>
    <w:unhideWhenUsed w:val="1"/>
    <w:rsid w:val="00930EF5"/>
    <w:rPr>
      <w:color w:val="605e5c"/>
      <w:shd w:color="auto" w:fill="e1dfdd" w:val="clear"/>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Kommentinteksti">
    <w:name w:val="annotation text"/>
    <w:basedOn w:val="Normaali"/>
    <w:link w:val="KommentintekstiChar"/>
    <w:uiPriority w:val="99"/>
    <w:semiHidden w:val="1"/>
    <w:unhideWhenUsed w:val="1"/>
    <w:rPr>
      <w:sz w:val="20"/>
      <w:szCs w:val="20"/>
    </w:rPr>
  </w:style>
  <w:style w:type="character" w:styleId="KommentintekstiChar" w:customStyle="1">
    <w:name w:val="Kommentin teksti Char"/>
    <w:basedOn w:val="Kappaleenoletusfontti"/>
    <w:link w:val="Kommentinteksti"/>
    <w:uiPriority w:val="99"/>
    <w:semiHidden w:val="1"/>
    <w:rPr>
      <w:sz w:val="20"/>
      <w:szCs w:val="20"/>
    </w:rPr>
  </w:style>
  <w:style w:type="character" w:styleId="Kommentinviite">
    <w:name w:val="annotation reference"/>
    <w:basedOn w:val="Kappaleenoletusfontti"/>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ll-center.fi/svenska/om_lattlast/regler_for_lattlast/"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s://saatiotrahastot.fi/juttuarkisto/miten-rahoittajat-voivat-ottaa-vammaiset-taiteilijat-huomioon/"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hyperlink" Target="https://nuoretjatyoelama.fi/esteettoman-ja-saavutettavan-tapahtuman-tarkistuslista/" TargetMode="External"/><Relationship Id="rId4" Type="http://schemas.openxmlformats.org/officeDocument/2006/relationships/numbering" Target="numbering.xml"/><Relationship Id="rId9" Type="http://schemas.openxmlformats.org/officeDocument/2006/relationships/hyperlink" Target="https://www.nakovammaistenliitto.fi/fi/ohje-selkean-julkaisun-suunnitteluu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DBAdPs+8R/OCOBISIpVC4RMVw==">CgMxLjA4AHIhMXBFakdHQ1F5RElIeGdla3o1QXNFYjhyY21RTjNuc2tt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8" ma:contentTypeDescription="Luo uusi asiakirja." ma:contentTypeScope="" ma:versionID="0404d1beea879fe9c792a52d17c151a8">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2cb23894cc3a1a9e5972b3f310e8d406"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e1a3a8f-fece-495a-8f22-21511a1146c8}" ma:internalName="TaxCatchAll" ma:showField="CatchAllData" ma:web="791a930e-db6a-4b5d-a775-47fb761d9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1a930e-db6a-4b5d-a775-47fb761d9999" xsi:nil="true"/>
    <lcf76f155ced4ddcb4097134ff3c332f xmlns="52fd1b39-61b7-4fcc-b001-81ba11530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93CB627-1314-40E5-BF2A-B9B58BCE5049}"/>
</file>

<file path=customXML/itemProps3.xml><?xml version="1.0" encoding="utf-8"?>
<ds:datastoreItem xmlns:ds="http://schemas.openxmlformats.org/officeDocument/2006/customXml" ds:itemID="{85A35DAB-CC08-42A2-B76A-B7D7DABEBFEF}"/>
</file>

<file path=customXML/itemProps4.xml><?xml version="1.0" encoding="utf-8"?>
<ds:datastoreItem xmlns:ds="http://schemas.openxmlformats.org/officeDocument/2006/customXml" ds:itemID="{DF4AB01F-981C-4A16-9D6A-F565CE11402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Siltavuori</dc:creator>
  <dcterms:created xsi:type="dcterms:W3CDTF">2023-11-11T16:02:00Z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